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3EAB" w14:textId="77777777" w:rsidR="001A1329" w:rsidRDefault="001A1329">
      <w:pPr>
        <w:pBdr>
          <w:top w:val="nil"/>
          <w:left w:val="nil"/>
          <w:bottom w:val="nil"/>
          <w:right w:val="nil"/>
          <w:between w:val="nil"/>
        </w:pBdr>
        <w:ind w:hanging="15"/>
        <w:jc w:val="center"/>
      </w:pPr>
      <w:bookmarkStart w:id="0" w:name="_GoBack"/>
      <w:bookmarkEnd w:id="0"/>
    </w:p>
    <w:p w14:paraId="66540B75" w14:textId="77777777" w:rsidR="001A1329" w:rsidRDefault="001A1329">
      <w:pPr>
        <w:pBdr>
          <w:top w:val="nil"/>
          <w:left w:val="nil"/>
          <w:bottom w:val="nil"/>
          <w:right w:val="nil"/>
          <w:between w:val="nil"/>
        </w:pBdr>
        <w:ind w:hanging="15"/>
        <w:jc w:val="center"/>
      </w:pPr>
    </w:p>
    <w:p w14:paraId="1190AA01" w14:textId="6308DEB1" w:rsidR="00371483" w:rsidRDefault="001133B6">
      <w:pPr>
        <w:pBdr>
          <w:top w:val="nil"/>
          <w:left w:val="nil"/>
          <w:bottom w:val="nil"/>
          <w:right w:val="nil"/>
          <w:between w:val="nil"/>
        </w:pBdr>
        <w:ind w:hanging="15"/>
        <w:jc w:val="center"/>
      </w:pPr>
      <w:r>
        <w:rPr>
          <w:noProof/>
        </w:rPr>
        <w:drawing>
          <wp:inline distT="114300" distB="114300" distL="114300" distR="114300" wp14:anchorId="60A388FB" wp14:editId="7CCAE217">
            <wp:extent cx="1409700" cy="1181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09700" cy="1181100"/>
                    </a:xfrm>
                    <a:prstGeom prst="rect">
                      <a:avLst/>
                    </a:prstGeom>
                    <a:ln/>
                  </pic:spPr>
                </pic:pic>
              </a:graphicData>
            </a:graphic>
          </wp:inline>
        </w:drawing>
      </w:r>
    </w:p>
    <w:p w14:paraId="75D6982A" w14:textId="77777777" w:rsidR="00371483" w:rsidRDefault="001133B6">
      <w:pPr>
        <w:pStyle w:val="Title"/>
        <w:pBdr>
          <w:top w:val="nil"/>
          <w:left w:val="nil"/>
          <w:bottom w:val="nil"/>
          <w:right w:val="nil"/>
          <w:between w:val="nil"/>
        </w:pBdr>
        <w:spacing w:before="0" w:line="276" w:lineRule="auto"/>
        <w:ind w:hanging="15"/>
      </w:pPr>
      <w:bookmarkStart w:id="1" w:name="_xlfxrw3h3nzh" w:colFirst="0" w:colLast="0"/>
      <w:bookmarkEnd w:id="1"/>
      <w:r>
        <w:rPr>
          <w:rFonts w:ascii="Calibri" w:eastAsia="Calibri" w:hAnsi="Calibri" w:cs="Calibri"/>
          <w:color w:val="741B47"/>
          <w:sz w:val="36"/>
          <w:szCs w:val="36"/>
        </w:rPr>
        <w:t>Equity Resources</w:t>
      </w:r>
    </w:p>
    <w:p w14:paraId="44987F1D" w14:textId="77777777" w:rsidR="00371483" w:rsidRDefault="00371483">
      <w:pPr>
        <w:pStyle w:val="Heading1"/>
        <w:spacing w:before="0"/>
        <w:jc w:val="left"/>
        <w:rPr>
          <w:rFonts w:ascii="Calibri" w:eastAsia="Calibri" w:hAnsi="Calibri" w:cs="Calibri"/>
          <w:b/>
          <w:color w:val="000000"/>
          <w:sz w:val="24"/>
          <w:szCs w:val="24"/>
        </w:rPr>
      </w:pPr>
      <w:bookmarkStart w:id="2" w:name="_75ixhkpj64n7" w:colFirst="0" w:colLast="0"/>
      <w:bookmarkEnd w:id="2"/>
    </w:p>
    <w:p w14:paraId="29515F1E" w14:textId="77777777" w:rsidR="00371483" w:rsidRDefault="001133B6">
      <w:pPr>
        <w:spacing w:before="0" w:line="240" w:lineRule="auto"/>
        <w:rPr>
          <w:rFonts w:ascii="Calibri" w:eastAsia="Calibri" w:hAnsi="Calibri" w:cs="Calibri"/>
          <w:sz w:val="22"/>
          <w:szCs w:val="22"/>
        </w:rPr>
      </w:pPr>
      <w:r>
        <w:rPr>
          <w:rFonts w:ascii="Calibri" w:eastAsia="Calibri" w:hAnsi="Calibri" w:cs="Calibri"/>
          <w:b/>
          <w:sz w:val="22"/>
          <w:szCs w:val="22"/>
        </w:rPr>
        <w:t xml:space="preserve">Essential Digital Citizenship Lessons for the Coronavirus Pandemic </w:t>
      </w:r>
      <w:r>
        <w:rPr>
          <w:rFonts w:ascii="Calibri" w:eastAsia="Calibri" w:hAnsi="Calibri" w:cs="Calibri"/>
          <w:sz w:val="22"/>
          <w:szCs w:val="22"/>
        </w:rPr>
        <w:t>from Common Sense Education</w:t>
      </w:r>
    </w:p>
    <w:p w14:paraId="31BAC4BC" w14:textId="77777777" w:rsidR="00371483" w:rsidRDefault="001133B6">
      <w:pPr>
        <w:spacing w:before="0" w:line="240" w:lineRule="auto"/>
        <w:rPr>
          <w:rFonts w:ascii="Calibri" w:eastAsia="Calibri" w:hAnsi="Calibri" w:cs="Calibri"/>
          <w:sz w:val="22"/>
          <w:szCs w:val="22"/>
        </w:rPr>
      </w:pPr>
      <w:r>
        <w:rPr>
          <w:rFonts w:ascii="Calibri" w:eastAsia="Calibri" w:hAnsi="Calibri" w:cs="Calibri"/>
          <w:sz w:val="22"/>
          <w:szCs w:val="22"/>
        </w:rPr>
        <w:t>There are 3 tabs across the top for Parents, Educators, and Students.</w:t>
      </w:r>
    </w:p>
    <w:p w14:paraId="651A3B08" w14:textId="77777777" w:rsidR="00371483" w:rsidRDefault="001133B6">
      <w:pPr>
        <w:spacing w:before="0" w:line="240" w:lineRule="auto"/>
        <w:rPr>
          <w:rFonts w:ascii="Calibri" w:eastAsia="Calibri" w:hAnsi="Calibri" w:cs="Calibri"/>
          <w:sz w:val="22"/>
          <w:szCs w:val="22"/>
        </w:rPr>
      </w:pPr>
      <w:r>
        <w:rPr>
          <w:rFonts w:ascii="Calibri" w:eastAsia="Calibri" w:hAnsi="Calibri" w:cs="Calibri"/>
          <w:sz w:val="22"/>
          <w:szCs w:val="22"/>
        </w:rPr>
        <w:t>Set up a free account to access lesson plans for digital citizenship that include videos, family engagement activities, and tips and tricks.</w:t>
      </w:r>
    </w:p>
    <w:p w14:paraId="3A57A0D6" w14:textId="77777777" w:rsidR="00371483" w:rsidRDefault="008235B6">
      <w:pPr>
        <w:spacing w:before="0" w:line="240" w:lineRule="auto"/>
        <w:rPr>
          <w:rFonts w:ascii="Calibri" w:eastAsia="Calibri" w:hAnsi="Calibri" w:cs="Calibri"/>
          <w:sz w:val="22"/>
          <w:szCs w:val="22"/>
        </w:rPr>
      </w:pPr>
      <w:hyperlink r:id="rId10">
        <w:r w:rsidR="001133B6">
          <w:rPr>
            <w:rFonts w:ascii="Calibri" w:eastAsia="Calibri" w:hAnsi="Calibri" w:cs="Calibri"/>
            <w:color w:val="0000FF"/>
            <w:sz w:val="22"/>
            <w:szCs w:val="22"/>
            <w:u w:val="single"/>
          </w:rPr>
          <w:t>https://www.commonsense.org/education/articles/essential-digital-citizenship-lessons-for-the-coronavirus-pandemic</w:t>
        </w:r>
      </w:hyperlink>
    </w:p>
    <w:p w14:paraId="4EC2000B" w14:textId="77777777" w:rsidR="00371483" w:rsidRDefault="00371483">
      <w:pPr>
        <w:spacing w:before="0" w:line="240" w:lineRule="auto"/>
        <w:rPr>
          <w:rFonts w:ascii="Calibri" w:eastAsia="Calibri" w:hAnsi="Calibri" w:cs="Calibri"/>
          <w:sz w:val="22"/>
          <w:szCs w:val="22"/>
        </w:rPr>
      </w:pPr>
    </w:p>
    <w:p w14:paraId="038878B9" w14:textId="77777777" w:rsidR="00371483" w:rsidRDefault="001133B6">
      <w:pPr>
        <w:spacing w:before="0" w:line="240" w:lineRule="auto"/>
        <w:rPr>
          <w:rFonts w:ascii="Calibri" w:eastAsia="Calibri" w:hAnsi="Calibri" w:cs="Calibri"/>
          <w:sz w:val="22"/>
          <w:szCs w:val="22"/>
        </w:rPr>
      </w:pPr>
      <w:r>
        <w:rPr>
          <w:rFonts w:ascii="Calibri" w:eastAsia="Calibri" w:hAnsi="Calibri" w:cs="Calibri"/>
          <w:sz w:val="22"/>
          <w:szCs w:val="22"/>
        </w:rPr>
        <w:t>Full Digital Citizenship Curriculum list</w:t>
      </w:r>
    </w:p>
    <w:p w14:paraId="258BF2B4" w14:textId="77777777" w:rsidR="00371483" w:rsidRDefault="008235B6">
      <w:pPr>
        <w:spacing w:before="0" w:line="240" w:lineRule="auto"/>
        <w:rPr>
          <w:rFonts w:ascii="Calibri" w:eastAsia="Calibri" w:hAnsi="Calibri" w:cs="Calibri"/>
          <w:color w:val="0000FF"/>
          <w:sz w:val="22"/>
          <w:szCs w:val="22"/>
          <w:u w:val="single"/>
        </w:rPr>
      </w:pPr>
      <w:hyperlink r:id="rId11">
        <w:r w:rsidR="001133B6">
          <w:rPr>
            <w:rFonts w:ascii="Calibri" w:eastAsia="Calibri" w:hAnsi="Calibri" w:cs="Calibri"/>
            <w:color w:val="0000FF"/>
            <w:sz w:val="22"/>
            <w:szCs w:val="22"/>
            <w:u w:val="single"/>
          </w:rPr>
          <w:t>https://www.commonsense.org/education/digital-citizenship/curriculum</w:t>
        </w:r>
      </w:hyperlink>
      <w:r w:rsidR="001133B6">
        <w:rPr>
          <w:rFonts w:ascii="Calibri" w:eastAsia="Calibri" w:hAnsi="Calibri" w:cs="Calibri"/>
          <w:color w:val="0000FF"/>
          <w:sz w:val="22"/>
          <w:szCs w:val="22"/>
          <w:u w:val="single"/>
        </w:rPr>
        <w:t xml:space="preserve"> </w:t>
      </w:r>
    </w:p>
    <w:p w14:paraId="04EA9E4A" w14:textId="77777777" w:rsidR="00371483" w:rsidRDefault="00371483">
      <w:pPr>
        <w:tabs>
          <w:tab w:val="left" w:pos="1335"/>
        </w:tabs>
        <w:spacing w:before="0" w:after="160" w:line="259" w:lineRule="auto"/>
        <w:rPr>
          <w:rFonts w:ascii="Calibri" w:eastAsia="Calibri" w:hAnsi="Calibri" w:cs="Calibri"/>
          <w:sz w:val="22"/>
          <w:szCs w:val="22"/>
        </w:rPr>
      </w:pPr>
    </w:p>
    <w:p w14:paraId="37C72785" w14:textId="77777777" w:rsidR="00371483" w:rsidRDefault="001133B6">
      <w:pPr>
        <w:tabs>
          <w:tab w:val="left" w:pos="1335"/>
        </w:tabs>
        <w:spacing w:before="0" w:after="160" w:line="259" w:lineRule="auto"/>
        <w:rPr>
          <w:rFonts w:ascii="Calibri" w:eastAsia="Calibri" w:hAnsi="Calibri" w:cs="Calibri"/>
          <w:sz w:val="22"/>
          <w:szCs w:val="22"/>
        </w:rPr>
      </w:pPr>
      <w:r>
        <w:rPr>
          <w:rFonts w:ascii="Calibri" w:eastAsia="Calibri" w:hAnsi="Calibri" w:cs="Calibri"/>
          <w:b/>
          <w:sz w:val="22"/>
          <w:szCs w:val="22"/>
        </w:rPr>
        <w:t xml:space="preserve">Best practices: online pedagogy from Harvard </w:t>
      </w:r>
      <w:r>
        <w:rPr>
          <w:rFonts w:ascii="Calibri" w:eastAsia="Calibri" w:hAnsi="Calibri" w:cs="Calibri"/>
          <w:sz w:val="22"/>
          <w:szCs w:val="22"/>
        </w:rPr>
        <w:t xml:space="preserve">– </w:t>
      </w:r>
    </w:p>
    <w:p w14:paraId="6E43DA5A" w14:textId="77777777" w:rsidR="00371483" w:rsidRDefault="001133B6">
      <w:pPr>
        <w:tabs>
          <w:tab w:val="left" w:pos="1335"/>
        </w:tabs>
        <w:spacing w:before="0" w:after="160" w:line="259" w:lineRule="auto"/>
        <w:rPr>
          <w:rFonts w:ascii="Calibri" w:eastAsia="Calibri" w:hAnsi="Calibri" w:cs="Calibri"/>
          <w:sz w:val="22"/>
          <w:szCs w:val="22"/>
        </w:rPr>
      </w:pPr>
      <w:r>
        <w:rPr>
          <w:rFonts w:ascii="Calibri" w:eastAsia="Calibri" w:hAnsi="Calibri" w:cs="Calibri"/>
          <w:sz w:val="22"/>
          <w:szCs w:val="22"/>
        </w:rPr>
        <w:t xml:space="preserve">Scroll to: </w:t>
      </w:r>
      <w:r>
        <w:rPr>
          <w:rFonts w:ascii="Calibri" w:eastAsia="Calibri" w:hAnsi="Calibri" w:cs="Calibri"/>
          <w:b/>
          <w:sz w:val="22"/>
          <w:szCs w:val="22"/>
        </w:rPr>
        <w:t>Accessibility</w:t>
      </w:r>
      <w:r>
        <w:rPr>
          <w:rFonts w:ascii="Calibri" w:eastAsia="Calibri" w:hAnsi="Calibri" w:cs="Calibri"/>
          <w:sz w:val="22"/>
          <w:szCs w:val="22"/>
        </w:rPr>
        <w:t xml:space="preserve"> section for suggestions such as a closed caption option for Zoom, and tools and best practice for processing time in an online environment.</w:t>
      </w:r>
    </w:p>
    <w:p w14:paraId="3C1CA203" w14:textId="77777777" w:rsidR="00371483" w:rsidRDefault="001133B6">
      <w:pPr>
        <w:tabs>
          <w:tab w:val="left" w:pos="1335"/>
        </w:tabs>
        <w:spacing w:before="0" w:after="160" w:line="259" w:lineRule="auto"/>
        <w:rPr>
          <w:rFonts w:ascii="Calibri" w:eastAsia="Calibri" w:hAnsi="Calibri" w:cs="Calibri"/>
          <w:sz w:val="22"/>
          <w:szCs w:val="22"/>
        </w:rPr>
      </w:pPr>
      <w:r>
        <w:rPr>
          <w:rFonts w:ascii="Calibri" w:eastAsia="Calibri" w:hAnsi="Calibri" w:cs="Calibri"/>
          <w:sz w:val="22"/>
          <w:szCs w:val="22"/>
        </w:rPr>
        <w:t xml:space="preserve">Best Practices: Online Pedagogy” from Harvard University, </w:t>
      </w:r>
      <w:hyperlink r:id="rId12">
        <w:r>
          <w:rPr>
            <w:rFonts w:ascii="Calibri" w:eastAsia="Calibri" w:hAnsi="Calibri" w:cs="Calibri"/>
            <w:color w:val="0000FF"/>
            <w:sz w:val="22"/>
            <w:szCs w:val="22"/>
            <w:u w:val="single"/>
          </w:rPr>
          <w:t>https://teachremotely.harvard.edu/best-practices</w:t>
        </w:r>
      </w:hyperlink>
    </w:p>
    <w:p w14:paraId="3180158C" w14:textId="77777777" w:rsidR="00371483" w:rsidRDefault="00371483">
      <w:pPr>
        <w:tabs>
          <w:tab w:val="left" w:pos="1335"/>
        </w:tabs>
        <w:spacing w:before="0" w:after="160" w:line="259" w:lineRule="auto"/>
        <w:rPr>
          <w:rFonts w:ascii="Calibri" w:eastAsia="Calibri" w:hAnsi="Calibri" w:cs="Calibri"/>
          <w:b/>
          <w:sz w:val="22"/>
          <w:szCs w:val="22"/>
        </w:rPr>
      </w:pPr>
    </w:p>
    <w:p w14:paraId="19C76824" w14:textId="77777777" w:rsidR="00371483" w:rsidRDefault="001133B6">
      <w:pPr>
        <w:tabs>
          <w:tab w:val="left" w:pos="1335"/>
        </w:tabs>
        <w:spacing w:before="0" w:after="160" w:line="259" w:lineRule="auto"/>
        <w:rPr>
          <w:rFonts w:ascii="Calibri" w:eastAsia="Calibri" w:hAnsi="Calibri" w:cs="Calibri"/>
          <w:b/>
          <w:sz w:val="22"/>
          <w:szCs w:val="22"/>
        </w:rPr>
      </w:pPr>
      <w:proofErr w:type="spellStart"/>
      <w:r>
        <w:rPr>
          <w:rFonts w:ascii="Calibri" w:eastAsia="Calibri" w:hAnsi="Calibri" w:cs="Calibri"/>
          <w:b/>
          <w:sz w:val="22"/>
          <w:szCs w:val="22"/>
        </w:rPr>
        <w:t>HundrEd</w:t>
      </w:r>
      <w:proofErr w:type="spellEnd"/>
      <w:r>
        <w:rPr>
          <w:rFonts w:ascii="Calibri" w:eastAsia="Calibri" w:hAnsi="Calibri" w:cs="Calibri"/>
          <w:b/>
          <w:sz w:val="22"/>
          <w:szCs w:val="22"/>
        </w:rPr>
        <w:t xml:space="preserve"> </w:t>
      </w:r>
    </w:p>
    <w:p w14:paraId="11F2DD1C" w14:textId="77777777" w:rsidR="00371483" w:rsidRDefault="001133B6">
      <w:pPr>
        <w:tabs>
          <w:tab w:val="left" w:pos="1335"/>
        </w:tabs>
        <w:spacing w:before="0" w:after="160" w:line="259" w:lineRule="auto"/>
        <w:rPr>
          <w:rFonts w:ascii="Calibri" w:eastAsia="Calibri" w:hAnsi="Calibri" w:cs="Calibri"/>
          <w:sz w:val="22"/>
          <w:szCs w:val="22"/>
        </w:rPr>
      </w:pPr>
      <w:bookmarkStart w:id="3" w:name="_gjdgxs" w:colFirst="0" w:colLast="0"/>
      <w:bookmarkEnd w:id="3"/>
      <w:r>
        <w:rPr>
          <w:rFonts w:ascii="Calibri" w:eastAsia="Calibri" w:hAnsi="Calibri" w:cs="Calibri"/>
          <w:sz w:val="22"/>
          <w:szCs w:val="22"/>
        </w:rPr>
        <w:t xml:space="preserve">Articles shared from across the world with solutions specific to educating all our students during school closures. Articles specific to accessibility with ideas such as using radio broadcasts to reach students without digital access. </w:t>
      </w:r>
    </w:p>
    <w:p w14:paraId="2D193F35" w14:textId="77777777" w:rsidR="00371483" w:rsidRDefault="008235B6">
      <w:pPr>
        <w:tabs>
          <w:tab w:val="left" w:pos="1335"/>
        </w:tabs>
        <w:spacing w:before="0" w:after="160" w:line="259" w:lineRule="auto"/>
        <w:rPr>
          <w:rFonts w:ascii="Calibri" w:eastAsia="Calibri" w:hAnsi="Calibri" w:cs="Calibri"/>
          <w:sz w:val="22"/>
          <w:szCs w:val="22"/>
        </w:rPr>
      </w:pPr>
      <w:hyperlink r:id="rId13">
        <w:r w:rsidR="001133B6">
          <w:rPr>
            <w:rFonts w:ascii="Calibri" w:eastAsia="Calibri" w:hAnsi="Calibri" w:cs="Calibri"/>
            <w:color w:val="0000FF"/>
            <w:sz w:val="22"/>
            <w:szCs w:val="22"/>
            <w:u w:val="single"/>
          </w:rPr>
          <w:t>https://hundred.org/en/collections/quality-education-for-all-during-coronavirus</w:t>
        </w:r>
      </w:hyperlink>
    </w:p>
    <w:p w14:paraId="3C9AAB65" w14:textId="77777777" w:rsidR="00371483" w:rsidRDefault="00371483">
      <w:pPr>
        <w:tabs>
          <w:tab w:val="left" w:pos="1335"/>
        </w:tabs>
        <w:spacing w:before="0" w:after="160" w:line="259" w:lineRule="auto"/>
        <w:rPr>
          <w:rFonts w:ascii="Calibri" w:eastAsia="Calibri" w:hAnsi="Calibri" w:cs="Calibri"/>
          <w:sz w:val="22"/>
          <w:szCs w:val="22"/>
        </w:rPr>
      </w:pPr>
    </w:p>
    <w:p w14:paraId="14AE250D" w14:textId="77777777" w:rsidR="00371483" w:rsidRDefault="001133B6">
      <w:pPr>
        <w:tabs>
          <w:tab w:val="left" w:pos="1335"/>
        </w:tabs>
        <w:spacing w:before="0" w:after="160" w:line="259" w:lineRule="auto"/>
        <w:rPr>
          <w:rFonts w:ascii="Calibri" w:eastAsia="Calibri" w:hAnsi="Calibri" w:cs="Calibri"/>
          <w:b/>
          <w:sz w:val="22"/>
          <w:szCs w:val="22"/>
        </w:rPr>
      </w:pPr>
      <w:r>
        <w:rPr>
          <w:rFonts w:ascii="Calibri" w:eastAsia="Calibri" w:hAnsi="Calibri" w:cs="Calibri"/>
          <w:b/>
          <w:sz w:val="22"/>
          <w:szCs w:val="22"/>
        </w:rPr>
        <w:t>Asynchronous communication: Strategies for equitable e-learning</w:t>
      </w:r>
    </w:p>
    <w:p w14:paraId="77D011A7" w14:textId="77777777" w:rsidR="00371483" w:rsidRDefault="001133B6">
      <w:pPr>
        <w:tabs>
          <w:tab w:val="left" w:pos="1335"/>
        </w:tabs>
        <w:spacing w:before="0" w:after="160" w:line="259" w:lineRule="auto"/>
        <w:rPr>
          <w:rFonts w:ascii="Calibri" w:eastAsia="Calibri" w:hAnsi="Calibri" w:cs="Calibri"/>
          <w:sz w:val="22"/>
          <w:szCs w:val="22"/>
        </w:rPr>
      </w:pPr>
      <w:r>
        <w:rPr>
          <w:rFonts w:ascii="Calibri" w:eastAsia="Calibri" w:hAnsi="Calibri" w:cs="Calibri"/>
          <w:sz w:val="22"/>
          <w:szCs w:val="22"/>
        </w:rPr>
        <w:t xml:space="preserve">Research study specific to gender inequities in asynchronous e-learning format. Interesting findings and practical strategies found at the end of the article. </w:t>
      </w:r>
    </w:p>
    <w:p w14:paraId="04421AC6" w14:textId="77777777" w:rsidR="00371483" w:rsidRDefault="008235B6">
      <w:pPr>
        <w:tabs>
          <w:tab w:val="left" w:pos="1335"/>
        </w:tabs>
        <w:spacing w:before="0" w:after="160" w:line="259" w:lineRule="auto"/>
        <w:rPr>
          <w:rFonts w:ascii="Calibri" w:eastAsia="Calibri" w:hAnsi="Calibri" w:cs="Calibri"/>
          <w:sz w:val="22"/>
          <w:szCs w:val="22"/>
        </w:rPr>
      </w:pPr>
      <w:hyperlink r:id="rId14">
        <w:r w:rsidR="001133B6">
          <w:rPr>
            <w:rFonts w:ascii="Calibri" w:eastAsia="Calibri" w:hAnsi="Calibri" w:cs="Calibri"/>
            <w:color w:val="0000FF"/>
            <w:sz w:val="22"/>
            <w:szCs w:val="22"/>
            <w:u w:val="single"/>
          </w:rPr>
          <w:t>https://www.ascilite.org/conferences/perth04/procs/pdf/meyers.pdf</w:t>
        </w:r>
      </w:hyperlink>
    </w:p>
    <w:p w14:paraId="7709CF01" w14:textId="77777777" w:rsidR="00371483" w:rsidRDefault="00371483">
      <w:pPr>
        <w:tabs>
          <w:tab w:val="left" w:pos="1335"/>
        </w:tabs>
        <w:spacing w:before="0" w:after="160" w:line="259" w:lineRule="auto"/>
        <w:rPr>
          <w:rFonts w:ascii="Calibri" w:eastAsia="Calibri" w:hAnsi="Calibri" w:cs="Calibri"/>
          <w:b/>
          <w:sz w:val="22"/>
          <w:szCs w:val="22"/>
        </w:rPr>
      </w:pPr>
    </w:p>
    <w:p w14:paraId="4E575897" w14:textId="77777777" w:rsidR="00371483" w:rsidRDefault="00371483">
      <w:pPr>
        <w:tabs>
          <w:tab w:val="left" w:pos="1335"/>
        </w:tabs>
        <w:spacing w:before="0" w:after="160" w:line="259" w:lineRule="auto"/>
        <w:rPr>
          <w:rFonts w:ascii="Calibri" w:eastAsia="Calibri" w:hAnsi="Calibri" w:cs="Calibri"/>
          <w:b/>
          <w:sz w:val="22"/>
          <w:szCs w:val="22"/>
        </w:rPr>
      </w:pPr>
    </w:p>
    <w:p w14:paraId="07EE832F" w14:textId="77777777" w:rsidR="00371483" w:rsidRDefault="00371483">
      <w:pPr>
        <w:tabs>
          <w:tab w:val="left" w:pos="1335"/>
        </w:tabs>
        <w:spacing w:before="0" w:after="160" w:line="259" w:lineRule="auto"/>
        <w:rPr>
          <w:rFonts w:ascii="Calibri" w:eastAsia="Calibri" w:hAnsi="Calibri" w:cs="Calibri"/>
          <w:b/>
          <w:sz w:val="22"/>
          <w:szCs w:val="22"/>
        </w:rPr>
      </w:pPr>
    </w:p>
    <w:p w14:paraId="642B4BE2" w14:textId="77777777" w:rsidR="00371483" w:rsidRDefault="00371483">
      <w:pPr>
        <w:tabs>
          <w:tab w:val="left" w:pos="1335"/>
        </w:tabs>
        <w:spacing w:before="0" w:after="160" w:line="259" w:lineRule="auto"/>
        <w:rPr>
          <w:rFonts w:ascii="Calibri" w:eastAsia="Calibri" w:hAnsi="Calibri" w:cs="Calibri"/>
          <w:b/>
          <w:sz w:val="22"/>
          <w:szCs w:val="22"/>
        </w:rPr>
      </w:pPr>
    </w:p>
    <w:p w14:paraId="6C0B0493" w14:textId="77777777" w:rsidR="00371483" w:rsidRDefault="001133B6">
      <w:pPr>
        <w:tabs>
          <w:tab w:val="left" w:pos="1335"/>
        </w:tabs>
        <w:spacing w:before="0" w:after="160" w:line="259" w:lineRule="auto"/>
        <w:rPr>
          <w:rFonts w:ascii="Calibri" w:eastAsia="Calibri" w:hAnsi="Calibri" w:cs="Calibri"/>
          <w:sz w:val="22"/>
          <w:szCs w:val="22"/>
        </w:rPr>
      </w:pPr>
      <w:r>
        <w:rPr>
          <w:rFonts w:ascii="Calibri" w:eastAsia="Calibri" w:hAnsi="Calibri" w:cs="Calibri"/>
          <w:b/>
          <w:sz w:val="22"/>
          <w:szCs w:val="22"/>
        </w:rPr>
        <w:t>Providing Related Services for Students with Disabilities During COVID-19</w:t>
      </w:r>
    </w:p>
    <w:p w14:paraId="7DBB75AF" w14:textId="77777777" w:rsidR="00371483" w:rsidRDefault="001133B6">
      <w:pPr>
        <w:tabs>
          <w:tab w:val="left" w:pos="1335"/>
        </w:tabs>
        <w:spacing w:before="0" w:after="160" w:line="259" w:lineRule="auto"/>
        <w:rPr>
          <w:rFonts w:ascii="Calibri" w:eastAsia="Calibri" w:hAnsi="Calibri" w:cs="Calibri"/>
          <w:sz w:val="22"/>
          <w:szCs w:val="22"/>
        </w:rPr>
      </w:pPr>
      <w:proofErr w:type="spellStart"/>
      <w:r>
        <w:rPr>
          <w:rFonts w:ascii="Calibri" w:eastAsia="Calibri" w:hAnsi="Calibri" w:cs="Calibri"/>
          <w:sz w:val="22"/>
          <w:szCs w:val="22"/>
        </w:rPr>
        <w:t>eLuma</w:t>
      </w:r>
      <w:proofErr w:type="spellEnd"/>
      <w:r>
        <w:rPr>
          <w:rFonts w:ascii="Calibri" w:eastAsia="Calibri" w:hAnsi="Calibri" w:cs="Calibri"/>
          <w:sz w:val="22"/>
          <w:szCs w:val="22"/>
        </w:rPr>
        <w:t xml:space="preserve"> is a teletherapy company that is offering support for related service providers who are new to teletherapy.  There are webinars and videos offering tips and tricks to providing these services during COVID-19.</w:t>
      </w:r>
    </w:p>
    <w:p w14:paraId="1B9EA533" w14:textId="77777777" w:rsidR="00371483" w:rsidRDefault="008235B6">
      <w:pPr>
        <w:tabs>
          <w:tab w:val="left" w:pos="1335"/>
        </w:tabs>
        <w:spacing w:before="0" w:after="160" w:line="259" w:lineRule="auto"/>
        <w:rPr>
          <w:rFonts w:ascii="Calibri" w:eastAsia="Calibri" w:hAnsi="Calibri" w:cs="Calibri"/>
          <w:sz w:val="22"/>
          <w:szCs w:val="22"/>
        </w:rPr>
      </w:pPr>
      <w:hyperlink r:id="rId15">
        <w:r w:rsidR="001133B6">
          <w:rPr>
            <w:rFonts w:ascii="Calibri" w:eastAsia="Calibri" w:hAnsi="Calibri" w:cs="Calibri"/>
            <w:color w:val="1155CC"/>
            <w:sz w:val="22"/>
            <w:szCs w:val="22"/>
            <w:u w:val="single"/>
          </w:rPr>
          <w:t>https://www.elumatherapy.com/covid-19-update/</w:t>
        </w:r>
      </w:hyperlink>
    </w:p>
    <w:p w14:paraId="30345B49" w14:textId="77777777" w:rsidR="00371483" w:rsidRDefault="00371483">
      <w:pPr>
        <w:spacing w:before="0" w:line="240" w:lineRule="auto"/>
        <w:rPr>
          <w:rFonts w:ascii="Calibri" w:eastAsia="Calibri" w:hAnsi="Calibri" w:cs="Calibri"/>
        </w:rPr>
      </w:pPr>
    </w:p>
    <w:p w14:paraId="639EDD7A" w14:textId="77777777" w:rsidR="00371483" w:rsidRDefault="00371483">
      <w:pPr>
        <w:pBdr>
          <w:top w:val="nil"/>
          <w:left w:val="nil"/>
          <w:bottom w:val="nil"/>
          <w:right w:val="nil"/>
          <w:between w:val="nil"/>
        </w:pBdr>
        <w:spacing w:before="0" w:line="240" w:lineRule="auto"/>
      </w:pPr>
    </w:p>
    <w:sectPr w:rsidR="00371483">
      <w:headerReference w:type="default" r:id="rId16"/>
      <w:footerReference w:type="default" r:id="rId17"/>
      <w:headerReference w:type="first" r:id="rId18"/>
      <w:footerReference w:type="first" r:id="rId19"/>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1041" w14:textId="77777777" w:rsidR="008235B6" w:rsidRDefault="008235B6">
      <w:pPr>
        <w:spacing w:before="0" w:line="240" w:lineRule="auto"/>
      </w:pPr>
      <w:r>
        <w:separator/>
      </w:r>
    </w:p>
  </w:endnote>
  <w:endnote w:type="continuationSeparator" w:id="0">
    <w:p w14:paraId="35927448" w14:textId="77777777" w:rsidR="008235B6" w:rsidRDefault="008235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Roboto Slab">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984C" w14:textId="77777777" w:rsidR="00371483" w:rsidRDefault="00371483">
    <w:pPr>
      <w:pBdr>
        <w:top w:val="nil"/>
        <w:left w:val="nil"/>
        <w:bottom w:val="nil"/>
        <w:right w:val="nil"/>
        <w:between w:val="nil"/>
      </w:pBdr>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CB7F" w14:textId="77777777" w:rsidR="00371483" w:rsidRDefault="00371483">
    <w:pPr>
      <w:pBdr>
        <w:top w:val="nil"/>
        <w:left w:val="nil"/>
        <w:bottom w:val="nil"/>
        <w:right w:val="nil"/>
        <w:between w:val="nil"/>
      </w:pBdr>
      <w:ind w:hanging="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99B1" w14:textId="77777777" w:rsidR="008235B6" w:rsidRDefault="008235B6">
      <w:pPr>
        <w:spacing w:before="0" w:line="240" w:lineRule="auto"/>
      </w:pPr>
      <w:r>
        <w:separator/>
      </w:r>
    </w:p>
  </w:footnote>
  <w:footnote w:type="continuationSeparator" w:id="0">
    <w:p w14:paraId="2B3770C5" w14:textId="77777777" w:rsidR="008235B6" w:rsidRDefault="008235B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3718" w14:textId="52F3B7E6" w:rsidR="00371483" w:rsidRDefault="001133B6">
    <w:pPr>
      <w:pBdr>
        <w:top w:val="nil"/>
        <w:left w:val="nil"/>
        <w:bottom w:val="nil"/>
        <w:right w:val="nil"/>
        <w:between w:val="nil"/>
      </w:pBdr>
      <w:spacing w:before="600"/>
      <w:ind w:hanging="15"/>
      <w:jc w:val="right"/>
      <w:rPr>
        <w:rFonts w:ascii="Roboto Slab" w:eastAsia="Roboto Slab" w:hAnsi="Roboto Slab" w:cs="Roboto Slab"/>
        <w:b/>
        <w:color w:val="EE0000"/>
      </w:rPr>
    </w:pPr>
    <w:r>
      <w:rPr>
        <w:rFonts w:ascii="Roboto Slab" w:eastAsia="Roboto Slab" w:hAnsi="Roboto Slab" w:cs="Roboto Slab"/>
        <w:b/>
        <w:color w:val="EE0000"/>
      </w:rPr>
      <w:fldChar w:fldCharType="begin"/>
    </w:r>
    <w:r>
      <w:rPr>
        <w:rFonts w:ascii="Roboto Slab" w:eastAsia="Roboto Slab" w:hAnsi="Roboto Slab" w:cs="Roboto Slab"/>
        <w:b/>
        <w:color w:val="EE0000"/>
      </w:rPr>
      <w:instrText>PAGE</w:instrText>
    </w:r>
    <w:r>
      <w:rPr>
        <w:rFonts w:ascii="Roboto Slab" w:eastAsia="Roboto Slab" w:hAnsi="Roboto Slab" w:cs="Roboto Slab"/>
        <w:b/>
        <w:color w:val="EE0000"/>
      </w:rPr>
      <w:fldChar w:fldCharType="separate"/>
    </w:r>
    <w:r>
      <w:rPr>
        <w:rFonts w:ascii="Roboto Slab" w:eastAsia="Roboto Slab" w:hAnsi="Roboto Slab" w:cs="Roboto Slab"/>
        <w:b/>
        <w:noProof/>
        <w:color w:val="EE0000"/>
      </w:rPr>
      <w:t>2</w:t>
    </w:r>
    <w:r>
      <w:rPr>
        <w:rFonts w:ascii="Roboto Slab" w:eastAsia="Roboto Slab" w:hAnsi="Roboto Slab" w:cs="Roboto Slab"/>
        <w:b/>
        <w:color w:val="EE0000"/>
      </w:rPr>
      <w:fldChar w:fldCharType="end"/>
    </w:r>
  </w:p>
  <w:p w14:paraId="32B47D38" w14:textId="77777777" w:rsidR="00371483" w:rsidRDefault="001133B6">
    <w:pPr>
      <w:pBdr>
        <w:top w:val="nil"/>
        <w:left w:val="nil"/>
        <w:bottom w:val="nil"/>
        <w:right w:val="nil"/>
        <w:between w:val="nil"/>
      </w:pBdr>
      <w:spacing w:before="0" w:line="240" w:lineRule="auto"/>
      <w:ind w:hanging="15"/>
    </w:pPr>
    <w:r>
      <w:rPr>
        <w:noProof/>
      </w:rPr>
      <w:drawing>
        <wp:inline distT="114300" distB="114300" distL="114300" distR="114300" wp14:anchorId="0F1BAADD" wp14:editId="3376A1C6">
          <wp:extent cx="5943600" cy="508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1D90" w14:textId="77777777" w:rsidR="00371483" w:rsidRDefault="00371483">
    <w:pPr>
      <w:pBdr>
        <w:top w:val="nil"/>
        <w:left w:val="nil"/>
        <w:bottom w:val="nil"/>
        <w:right w:val="nil"/>
        <w:between w:val="nil"/>
      </w:pBdr>
      <w:spacing w:before="400"/>
      <w:jc w:val="right"/>
      <w:rPr>
        <w:rFonts w:ascii="Roboto Slab" w:eastAsia="Roboto Slab" w:hAnsi="Roboto Slab" w:cs="Roboto Slab"/>
        <w:b/>
        <w:color w:val="EE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83"/>
    <w:rsid w:val="001133B6"/>
    <w:rsid w:val="001A1329"/>
    <w:rsid w:val="00371483"/>
    <w:rsid w:val="004311D6"/>
    <w:rsid w:val="007C7279"/>
    <w:rsid w:val="008235B6"/>
    <w:rsid w:val="0099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E188"/>
  <w15:docId w15:val="{C26DE3DF-4FB8-4399-BA65-03E39C37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en" w:eastAsia="en-US" w:bidi="ar-SA"/>
      </w:rPr>
    </w:rPrDefault>
    <w:pPrDefault>
      <w:pPr>
        <w:spacing w:before="200"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jc w:val="center"/>
      <w:outlineLvl w:val="0"/>
    </w:pPr>
    <w:rPr>
      <w:rFonts w:ascii="Roboto Slab" w:eastAsia="Roboto Slab" w:hAnsi="Roboto Slab" w:cs="Roboto Slab"/>
      <w:color w:val="029AED"/>
      <w:sz w:val="36"/>
      <w:szCs w:val="36"/>
    </w:rPr>
  </w:style>
  <w:style w:type="paragraph" w:styleId="Heading2">
    <w:name w:val="heading 2"/>
    <w:basedOn w:val="Normal"/>
    <w:next w:val="Normal"/>
    <w:uiPriority w:val="9"/>
    <w:semiHidden/>
    <w:unhideWhenUsed/>
    <w:qFormat/>
    <w:pPr>
      <w:keepNext/>
      <w:keepLines/>
      <w:spacing w:before="480" w:line="240" w:lineRule="auto"/>
      <w:outlineLvl w:val="1"/>
    </w:pPr>
    <w:rPr>
      <w:rFonts w:ascii="Roboto Slab" w:eastAsia="Roboto Slab" w:hAnsi="Roboto Slab" w:cs="Roboto Slab"/>
      <w:b/>
      <w:color w:val="63A600"/>
      <w:sz w:val="36"/>
      <w:szCs w:val="36"/>
    </w:rPr>
  </w:style>
  <w:style w:type="paragraph" w:styleId="Heading3">
    <w:name w:val="heading 3"/>
    <w:basedOn w:val="Normal"/>
    <w:next w:val="Normal"/>
    <w:uiPriority w:val="9"/>
    <w:semiHidden/>
    <w:unhideWhenUsed/>
    <w:qFormat/>
    <w:pPr>
      <w:outlineLvl w:val="2"/>
    </w:pPr>
    <w:rPr>
      <w:rFonts w:ascii="Roboto Slab" w:eastAsia="Roboto Slab" w:hAnsi="Roboto Slab" w:cs="Roboto Slab"/>
      <w:color w:val="FF5722"/>
      <w:sz w:val="32"/>
      <w:szCs w:val="3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Roboto Slab" w:eastAsia="Roboto Slab" w:hAnsi="Roboto Slab" w:cs="Roboto Slab"/>
      <w:b/>
      <w:color w:val="8BC34A"/>
      <w:sz w:val="72"/>
      <w:szCs w:val="72"/>
    </w:rPr>
  </w:style>
  <w:style w:type="paragraph" w:styleId="Subtitle">
    <w:name w:val="Subtitle"/>
    <w:basedOn w:val="Normal"/>
    <w:next w:val="Normal"/>
    <w:uiPriority w:val="11"/>
    <w:qFormat/>
    <w:pPr>
      <w:keepNext/>
      <w:keepLines/>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ndred.org/en/collections/quality-education-for-all-during-coronavir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achremotely.harvard.edu/best-prac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onsense.org/education/digital-citizenship/curriculum" TargetMode="External"/><Relationship Id="rId5" Type="http://schemas.openxmlformats.org/officeDocument/2006/relationships/settings" Target="settings.xml"/><Relationship Id="rId15" Type="http://schemas.openxmlformats.org/officeDocument/2006/relationships/hyperlink" Target="https://www.elumatherapy.com/covid-19-update/" TargetMode="External"/><Relationship Id="rId10" Type="http://schemas.openxmlformats.org/officeDocument/2006/relationships/hyperlink" Target="https://www.commonsense.org/education/articles/essential-digital-citizenship-lessons-for-the-coronavirus-pandemic"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scilite.org/conferences/perth04/procs/pdf/mey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04B2D126814DA4A8C3A70EFC375F" ma:contentTypeVersion="13" ma:contentTypeDescription="Create a new document." ma:contentTypeScope="" ma:versionID="cd9969243b0aa9d773c299ab1e9f0c4a">
  <xsd:schema xmlns:xsd="http://www.w3.org/2001/XMLSchema" xmlns:xs="http://www.w3.org/2001/XMLSchema" xmlns:p="http://schemas.microsoft.com/office/2006/metadata/properties" xmlns:ns3="fdcdc625-f073-4511-99d2-95b364dea00a" xmlns:ns4="309f0a8a-3675-45ca-84b5-622cace9fac0" targetNamespace="http://schemas.microsoft.com/office/2006/metadata/properties" ma:root="true" ma:fieldsID="4de1085edc5395ae1399ffc457cc7132" ns3:_="" ns4:_="">
    <xsd:import namespace="fdcdc625-f073-4511-99d2-95b364dea00a"/>
    <xsd:import namespace="309f0a8a-3675-45ca-84b5-622cace9fa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c625-f073-4511-99d2-95b364dea0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0a8a-3675-45ca-84b5-622cace9fa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3CD64-6CFE-443E-9F18-AFB5EEBE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c625-f073-4511-99d2-95b364dea00a"/>
    <ds:schemaRef ds:uri="309f0a8a-3675-45ca-84b5-622cace9f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84FA3-58FE-4983-9568-C6A6036D5AB1}">
  <ds:schemaRefs>
    <ds:schemaRef ds:uri="http://schemas.microsoft.com/sharepoint/v3/contenttype/forms"/>
  </ds:schemaRefs>
</ds:datastoreItem>
</file>

<file path=customXml/itemProps3.xml><?xml version="1.0" encoding="utf-8"?>
<ds:datastoreItem xmlns:ds="http://schemas.openxmlformats.org/officeDocument/2006/customXml" ds:itemID="{34049FBB-C5BE-4A91-A249-0B33CAEBF2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Folger</dc:creator>
  <cp:lastModifiedBy>Lisa Baker</cp:lastModifiedBy>
  <cp:revision>2</cp:revision>
  <dcterms:created xsi:type="dcterms:W3CDTF">2020-04-15T18:25:00Z</dcterms:created>
  <dcterms:modified xsi:type="dcterms:W3CDTF">2020-04-15T18:25:00Z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0x01010007A404B2D126814DA4A8C3A70EFC375F</vt:lpwstr>
  </property>
</Properties>
</file>